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26"/>
      </w:tblGrid>
      <w:tr w:rsidR="008918C0" w:rsidRPr="008918C0" w:rsidTr="008918C0">
        <w:tc>
          <w:tcPr>
            <w:tcW w:w="0" w:type="auto"/>
            <w:tcBorders>
              <w:top w:val="nil"/>
              <w:bottom w:val="nil"/>
            </w:tcBorders>
            <w:shd w:val="clear" w:color="auto" w:fill="FFFFFF"/>
            <w:tcMar>
              <w:top w:w="90" w:type="dxa"/>
              <w:left w:w="0" w:type="dxa"/>
              <w:bottom w:w="0" w:type="dxa"/>
              <w:right w:w="0" w:type="dxa"/>
            </w:tcMar>
            <w:hideMark/>
          </w:tcPr>
          <w:tbl>
            <w:tblPr>
              <w:tblW w:w="5000" w:type="pct"/>
              <w:jc w:val="center"/>
              <w:tblCellMar>
                <w:left w:w="0" w:type="dxa"/>
                <w:right w:w="0" w:type="dxa"/>
              </w:tblCellMar>
              <w:tblLook w:val="04A0"/>
            </w:tblPr>
            <w:tblGrid>
              <w:gridCol w:w="9026"/>
            </w:tblGrid>
            <w:tr w:rsidR="008918C0" w:rsidRPr="008918C0">
              <w:trPr>
                <w:jc w:val="center"/>
              </w:trPr>
              <w:tc>
                <w:tcPr>
                  <w:tcW w:w="0" w:type="auto"/>
                  <w:hideMark/>
                </w:tcPr>
                <w:tbl>
                  <w:tblPr>
                    <w:tblW w:w="5000" w:type="pct"/>
                    <w:tblCellMar>
                      <w:left w:w="0" w:type="dxa"/>
                      <w:right w:w="0" w:type="dxa"/>
                    </w:tblCellMar>
                    <w:tblLook w:val="04A0"/>
                  </w:tblPr>
                  <w:tblGrid>
                    <w:gridCol w:w="9026"/>
                  </w:tblGrid>
                  <w:tr w:rsidR="008918C0" w:rsidRPr="008918C0">
                    <w:tc>
                      <w:tcPr>
                        <w:tcW w:w="0" w:type="auto"/>
                        <w:hideMark/>
                      </w:tcPr>
                      <w:p w:rsidR="00D76E61" w:rsidRPr="00D76E61" w:rsidRDefault="00D76E61">
                        <w:pPr>
                          <w:rPr>
                            <w:b/>
                          </w:rPr>
                        </w:pPr>
                        <w:r w:rsidRPr="00D76E61">
                          <w:rPr>
                            <w:b/>
                          </w:rPr>
                          <w:t>Newsletter #1 October 18</w:t>
                        </w:r>
                      </w:p>
                      <w:tbl>
                        <w:tblPr>
                          <w:tblpPr w:leftFromText="36" w:rightFromText="36" w:vertAnchor="text"/>
                          <w:tblW w:w="5000" w:type="pct"/>
                          <w:tblCellMar>
                            <w:left w:w="0" w:type="dxa"/>
                            <w:right w:w="0" w:type="dxa"/>
                          </w:tblCellMar>
                          <w:tblLook w:val="04A0"/>
                        </w:tblPr>
                        <w:tblGrid>
                          <w:gridCol w:w="9026"/>
                        </w:tblGrid>
                        <w:tr w:rsidR="008918C0" w:rsidRPr="008918C0">
                          <w:tc>
                            <w:tcPr>
                              <w:tcW w:w="0" w:type="auto"/>
                              <w:tcMar>
                                <w:top w:w="90" w:type="dxa"/>
                                <w:left w:w="180" w:type="dxa"/>
                                <w:bottom w:w="90" w:type="dxa"/>
                                <w:right w:w="180" w:type="dxa"/>
                              </w:tcMar>
                              <w:vAlign w:val="center"/>
                              <w:hideMark/>
                            </w:tcPr>
                            <w:p w:rsidR="00D76E61" w:rsidRDefault="00D76E61"/>
                            <w:tbl>
                              <w:tblPr>
                                <w:tblW w:w="5000" w:type="pct"/>
                                <w:tblCellMar>
                                  <w:top w:w="15" w:type="dxa"/>
                                  <w:left w:w="15" w:type="dxa"/>
                                  <w:bottom w:w="15" w:type="dxa"/>
                                  <w:right w:w="15" w:type="dxa"/>
                                </w:tblCellMar>
                                <w:tblLook w:val="04A0"/>
                              </w:tblPr>
                              <w:tblGrid>
                                <w:gridCol w:w="8666"/>
                              </w:tblGrid>
                              <w:tr w:rsidR="008918C0" w:rsidRPr="008918C0">
                                <w:tc>
                                  <w:tcPr>
                                    <w:tcW w:w="0" w:type="auto"/>
                                    <w:tcMar>
                                      <w:top w:w="180" w:type="dxa"/>
                                      <w:left w:w="180" w:type="dxa"/>
                                      <w:bottom w:w="180" w:type="dxa"/>
                                      <w:right w:w="180" w:type="dxa"/>
                                    </w:tcMar>
                                    <w:hideMark/>
                                  </w:tcPr>
                                  <w:p w:rsidR="008918C0" w:rsidRPr="008918C0" w:rsidRDefault="008918C0" w:rsidP="008918C0">
                                    <w:pPr>
                                      <w:spacing w:before="0" w:after="0" w:line="213" w:lineRule="atLeast"/>
                                      <w:rPr>
                                        <w:rFonts w:ascii="Helvetica" w:eastAsia="Times New Roman" w:hAnsi="Helvetica" w:cs="Helvetica"/>
                                        <w:color w:val="010101"/>
                                        <w:sz w:val="14"/>
                                        <w:szCs w:val="14"/>
                                        <w:lang w:eastAsia="en-AU"/>
                                      </w:rPr>
                                    </w:pPr>
                                    <w:r w:rsidRPr="008918C0">
                                      <w:rPr>
                                        <w:rFonts w:ascii="Helvetica" w:eastAsia="Times New Roman" w:hAnsi="Helvetica" w:cs="Helvetica"/>
                                        <w:color w:val="010101"/>
                                        <w:sz w:val="14"/>
                                        <w:szCs w:val="14"/>
                                        <w:lang w:eastAsia="en-AU"/>
                                      </w:rPr>
                                      <w:t>Hi all,</w:t>
                                    </w:r>
                                    <w:r w:rsidRPr="008918C0">
                                      <w:rPr>
                                        <w:rFonts w:ascii="Helvetica" w:eastAsia="Times New Roman" w:hAnsi="Helvetica" w:cs="Helvetica"/>
                                        <w:color w:val="010101"/>
                                        <w:sz w:val="14"/>
                                        <w:szCs w:val="14"/>
                                        <w:lang w:eastAsia="en-AU"/>
                                      </w:rPr>
                                      <w:br/>
                                      <w:t>A great deal has been happening while I have been away on holiday and we have the AGM coming up on November 1st. I would encourage you all to come and celebrate our successes over the past year, while we socialise with others in our community and to vote in the elections for officers. Everyone is welcome. You will note from the agenda that whilst nominations have been received and seconded any other or alternative nominations are welcome. Please send to sharek@xtra.co.nz</w:t>
                                    </w:r>
                                    <w:r w:rsidRPr="008918C0">
                                      <w:rPr>
                                        <w:rFonts w:ascii="Helvetica" w:eastAsia="Times New Roman" w:hAnsi="Helvetica" w:cs="Helvetica"/>
                                        <w:color w:val="010101"/>
                                        <w:sz w:val="14"/>
                                        <w:szCs w:val="14"/>
                                        <w:lang w:eastAsia="en-AU"/>
                                      </w:rPr>
                                      <w:br/>
                                      <w:t>In future, this newsletter will follow a standard format of four headings:  Progress on projects, People news, Points ahead and information and Possibilities that may come to fruition over the next few months or years. Enjoy and see you at the AGM!</w:t>
                                    </w:r>
                                    <w:r w:rsidRPr="008918C0">
                                      <w:rPr>
                                        <w:rFonts w:ascii="Helvetica" w:eastAsia="Times New Roman" w:hAnsi="Helvetica" w:cs="Helvetica"/>
                                        <w:color w:val="010101"/>
                                        <w:sz w:val="14"/>
                                        <w:szCs w:val="14"/>
                                        <w:lang w:eastAsia="en-AU"/>
                                      </w:rPr>
                                      <w:br/>
                                    </w:r>
                                    <w:r w:rsidRPr="008918C0">
                                      <w:rPr>
                                        <w:rFonts w:ascii="Helvetica" w:eastAsia="Times New Roman" w:hAnsi="Helvetica" w:cs="Helvetica"/>
                                        <w:color w:val="010101"/>
                                        <w:sz w:val="14"/>
                                        <w:szCs w:val="14"/>
                                        <w:lang w:eastAsia="en-AU"/>
                                      </w:rPr>
                                      <w:br/>
                                      <w:t>Simon</w:t>
                                    </w: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tblPr>
                  <w:tblGrid>
                    <w:gridCol w:w="9026"/>
                  </w:tblGrid>
                  <w:tr w:rsidR="008918C0" w:rsidRPr="008918C0">
                    <w:tc>
                      <w:tcPr>
                        <w:tcW w:w="0" w:type="auto"/>
                        <w:hideMark/>
                      </w:tcPr>
                      <w:tbl>
                        <w:tblPr>
                          <w:tblpPr w:leftFromText="36" w:rightFromText="36" w:vertAnchor="text"/>
                          <w:tblW w:w="5000" w:type="pct"/>
                          <w:tblCellMar>
                            <w:left w:w="0" w:type="dxa"/>
                            <w:right w:w="0" w:type="dxa"/>
                          </w:tblCellMar>
                          <w:tblLook w:val="04A0"/>
                        </w:tblPr>
                        <w:tblGrid>
                          <w:gridCol w:w="9026"/>
                        </w:tblGrid>
                        <w:tr w:rsidR="008918C0" w:rsidRPr="008918C0">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6"/>
                              </w:tblGrid>
                              <w:tr w:rsidR="008918C0" w:rsidRPr="008918C0">
                                <w:tc>
                                  <w:tcPr>
                                    <w:tcW w:w="0" w:type="auto"/>
                                    <w:tcMar>
                                      <w:top w:w="180" w:type="dxa"/>
                                      <w:left w:w="180" w:type="dxa"/>
                                      <w:bottom w:w="180" w:type="dxa"/>
                                      <w:right w:w="180" w:type="dxa"/>
                                    </w:tcMar>
                                    <w:hideMark/>
                                  </w:tcPr>
                                  <w:p w:rsidR="008918C0" w:rsidRPr="008918C0" w:rsidRDefault="008918C0" w:rsidP="008918C0">
                                    <w:pPr>
                                      <w:spacing w:before="0" w:after="0" w:line="213" w:lineRule="atLeast"/>
                                      <w:jc w:val="center"/>
                                      <w:rPr>
                                        <w:rFonts w:ascii="Helvetica" w:eastAsia="Times New Roman" w:hAnsi="Helvetica" w:cs="Helvetica"/>
                                        <w:color w:val="0D0D0D"/>
                                        <w:sz w:val="14"/>
                                        <w:szCs w:val="14"/>
                                        <w:lang w:eastAsia="en-AU"/>
                                      </w:rPr>
                                    </w:pPr>
                                    <w:r w:rsidRPr="008918C0">
                                      <w:rPr>
                                        <w:rFonts w:ascii="Helvetica" w:eastAsia="Times New Roman" w:hAnsi="Helvetica" w:cs="Helvetica"/>
                                        <w:color w:val="0D0D0D"/>
                                        <w:sz w:val="14"/>
                                        <w:szCs w:val="14"/>
                                        <w:lang w:eastAsia="en-AU"/>
                                      </w:rPr>
                                      <w:t> </w:t>
                                    </w:r>
                                  </w:p>
                                  <w:p w:rsidR="008918C0" w:rsidRPr="008918C0" w:rsidRDefault="008918C0" w:rsidP="008918C0">
                                    <w:pPr>
                                      <w:spacing w:before="0" w:after="0" w:line="213" w:lineRule="atLeast"/>
                                      <w:jc w:val="center"/>
                                      <w:rPr>
                                        <w:rFonts w:ascii="Helvetica" w:eastAsia="Times New Roman" w:hAnsi="Helvetica" w:cs="Helvetica"/>
                                        <w:color w:val="0D0D0D"/>
                                        <w:sz w:val="14"/>
                                        <w:szCs w:val="14"/>
                                        <w:lang w:eastAsia="en-AU"/>
                                      </w:rPr>
                                    </w:pPr>
                                    <w:r w:rsidRPr="008918C0">
                                      <w:rPr>
                                        <w:rFonts w:ascii="Helvetica" w:eastAsia="Times New Roman" w:hAnsi="Helvetica" w:cs="Helvetica"/>
                                        <w:b/>
                                        <w:bCs/>
                                        <w:color w:val="0D0D0D"/>
                                        <w:sz w:val="18"/>
                                        <w:lang w:eastAsia="en-AU"/>
                                      </w:rPr>
                                      <w:t>Progress</w:t>
                                    </w:r>
                                    <w:r w:rsidRPr="008918C0">
                                      <w:rPr>
                                        <w:rFonts w:ascii="Helvetica" w:eastAsia="Times New Roman" w:hAnsi="Helvetica" w:cs="Helvetica"/>
                                        <w:color w:val="0D0D0D"/>
                                        <w:sz w:val="14"/>
                                        <w:szCs w:val="14"/>
                                        <w:lang w:eastAsia="en-AU"/>
                                      </w:rPr>
                                      <w:br/>
                                      <w:t> </w:t>
                                    </w:r>
                                  </w:p>
                                  <w:p w:rsidR="008918C0" w:rsidRPr="008918C0" w:rsidRDefault="008918C0" w:rsidP="008918C0">
                                    <w:pPr>
                                      <w:spacing w:before="0" w:after="0" w:line="213" w:lineRule="atLeast"/>
                                      <w:rPr>
                                        <w:rFonts w:ascii="Helvetica" w:eastAsia="Times New Roman" w:hAnsi="Helvetica" w:cs="Helvetica"/>
                                        <w:color w:val="0D0D0D"/>
                                        <w:sz w:val="14"/>
                                        <w:szCs w:val="14"/>
                                        <w:lang w:eastAsia="en-AU"/>
                                      </w:rPr>
                                    </w:pPr>
                                    <w:r w:rsidRPr="008918C0">
                                      <w:rPr>
                                        <w:rFonts w:ascii="Helvetica" w:eastAsia="Times New Roman" w:hAnsi="Helvetica" w:cs="Helvetica"/>
                                        <w:b/>
                                        <w:bCs/>
                                        <w:i/>
                                        <w:iCs/>
                                        <w:color w:val="0D0D0D"/>
                                        <w:sz w:val="14"/>
                                        <w:lang w:eastAsia="en-AU"/>
                                      </w:rPr>
                                      <w:t>Waste Management</w:t>
                                    </w:r>
                                    <w:r w:rsidRPr="008918C0">
                                      <w:rPr>
                                        <w:rFonts w:ascii="Helvetica" w:eastAsia="Times New Roman" w:hAnsi="Helvetica" w:cs="Helvetica"/>
                                        <w:color w:val="0D0D0D"/>
                                        <w:sz w:val="14"/>
                                        <w:szCs w:val="14"/>
                                        <w:lang w:eastAsia="en-AU"/>
                                      </w:rPr>
                                      <w:br/>
                                      <w:t>Last month, the sudden shock of council proposing to close both local transfer stations was hard to swallow by the local board as well as the community.  Beth and Greg did an excellent job of getting the lease temporarily extended so that the transfer stations at Lawrie Rd and Rusty Brooke will now stay open until the end of June next year.</w:t>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color w:val="0D0D0D"/>
                                        <w:sz w:val="14"/>
                                        <w:szCs w:val="14"/>
                                        <w:lang w:eastAsia="en-AU"/>
                                      </w:rPr>
                                      <w:br/>
                                      <w:t>Both sites were badly contaminated when they were used for landfill and now need to be fixed before they can be used as transfer stations again. Note that there is a difference between a transfer station where rubbish is collected and sorted and a landfill where the non-recyclable items are buried. Landfills are not accessed by the public but by contractors. The application for a landfill in the Dome Valley is not directly connected to this issue!</w:t>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color w:val="0D0D0D"/>
                                        <w:sz w:val="14"/>
                                        <w:szCs w:val="14"/>
                                        <w:lang w:eastAsia="en-AU"/>
                                      </w:rPr>
                                      <w:br/>
                                      <w:t xml:space="preserve">As the present stations will need to be completely closed down next June, Northland Waste has applied for resource consent to operate out of land they own on </w:t>
                                    </w:r>
                                    <w:proofErr w:type="spellStart"/>
                                    <w:r w:rsidRPr="008918C0">
                                      <w:rPr>
                                        <w:rFonts w:ascii="Helvetica" w:eastAsia="Times New Roman" w:hAnsi="Helvetica" w:cs="Helvetica"/>
                                        <w:color w:val="0D0D0D"/>
                                        <w:sz w:val="14"/>
                                        <w:szCs w:val="14"/>
                                        <w:lang w:eastAsia="en-AU"/>
                                      </w:rPr>
                                      <w:t>Sandspit</w:t>
                                    </w:r>
                                    <w:proofErr w:type="spellEnd"/>
                                    <w:r w:rsidRPr="008918C0">
                                      <w:rPr>
                                        <w:rFonts w:ascii="Helvetica" w:eastAsia="Times New Roman" w:hAnsi="Helvetica" w:cs="Helvetica"/>
                                        <w:color w:val="0D0D0D"/>
                                        <w:sz w:val="14"/>
                                        <w:szCs w:val="14"/>
                                        <w:lang w:eastAsia="en-AU"/>
                                      </w:rPr>
                                      <w:t xml:space="preserve"> Rd near Wyatt’s. In the meantime, Mahurangi Wastebusters strongly supports the closure for safety reasons but we feel that there must be a way to continue to provide some services from the existing sites rather than close them totally.</w:t>
                                    </w:r>
                                    <w:r w:rsidRPr="008918C0">
                                      <w:rPr>
                                        <w:rFonts w:ascii="Helvetica" w:eastAsia="Times New Roman" w:hAnsi="Helvetica" w:cs="Helvetica"/>
                                        <w:color w:val="0D0D0D"/>
                                        <w:sz w:val="14"/>
                                        <w:szCs w:val="14"/>
                                        <w:lang w:eastAsia="en-AU"/>
                                      </w:rPr>
                                      <w:br/>
                                      <w:t> </w:t>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b/>
                                        <w:bCs/>
                                        <w:i/>
                                        <w:iCs/>
                                        <w:color w:val="0D0D0D"/>
                                        <w:sz w:val="14"/>
                                        <w:lang w:eastAsia="en-AU"/>
                                      </w:rPr>
                                      <w:t>Mahurangi River Dredging</w:t>
                                    </w:r>
                                    <w:r w:rsidRPr="008918C0">
                                      <w:rPr>
                                        <w:rFonts w:ascii="Helvetica" w:eastAsia="Times New Roman" w:hAnsi="Helvetica" w:cs="Helvetica"/>
                                        <w:color w:val="0D0D0D"/>
                                        <w:sz w:val="14"/>
                                        <w:szCs w:val="14"/>
                                        <w:lang w:eastAsia="en-AU"/>
                                      </w:rPr>
                                      <w:br/>
                                      <w:t>Dredging is underway with an initial $250,000. The final result should be a navigable and swimmable river with the potential for boats to come up from Auckland. This could attract tourists or even enable a ferry service into the city. Resource consent has been granted but the final cost is likely to be close to $4million which will require an application to central government for funding.</w:t>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b/>
                                        <w:bCs/>
                                        <w:i/>
                                        <w:iCs/>
                                        <w:color w:val="0D0D0D"/>
                                        <w:sz w:val="14"/>
                                        <w:lang w:eastAsia="en-AU"/>
                                      </w:rPr>
                                      <w:t>Matakana Valley Road</w:t>
                                    </w:r>
                                    <w:r w:rsidRPr="008918C0">
                                      <w:rPr>
                                        <w:rFonts w:ascii="Helvetica" w:eastAsia="Times New Roman" w:hAnsi="Helvetica" w:cs="Helvetica"/>
                                        <w:color w:val="0D0D0D"/>
                                        <w:sz w:val="14"/>
                                        <w:szCs w:val="14"/>
                                        <w:lang w:eastAsia="en-AU"/>
                                      </w:rPr>
                                      <w:br/>
                                      <w:t xml:space="preserve">The filling in of those ditches and widening the pathways is finally going to happen! We were promised before Christmas – but alas that will not happen although it will have to be finished within this financial year because Beth has the funds tagged from council’s budget. It will also cover less area than we wanted with the swales </w:t>
                                    </w:r>
                                    <w:proofErr w:type="spellStart"/>
                                    <w:r w:rsidRPr="008918C0">
                                      <w:rPr>
                                        <w:rFonts w:ascii="Helvetica" w:eastAsia="Times New Roman" w:hAnsi="Helvetica" w:cs="Helvetica"/>
                                        <w:color w:val="0D0D0D"/>
                                        <w:sz w:val="14"/>
                                        <w:szCs w:val="14"/>
                                        <w:lang w:eastAsia="en-AU"/>
                                      </w:rPr>
                                      <w:t>culverted</w:t>
                                    </w:r>
                                    <w:proofErr w:type="spellEnd"/>
                                    <w:r w:rsidRPr="008918C0">
                                      <w:rPr>
                                        <w:rFonts w:ascii="Helvetica" w:eastAsia="Times New Roman" w:hAnsi="Helvetica" w:cs="Helvetica"/>
                                        <w:color w:val="0D0D0D"/>
                                        <w:sz w:val="14"/>
                                        <w:szCs w:val="14"/>
                                        <w:lang w:eastAsia="en-AU"/>
                                      </w:rPr>
                                      <w:t xml:space="preserve"> and paved between the market and Jin Jin’s on the Market side. On the other side the swales will be grasses and edged.  Working with Healthy Waters, Auckland Transport and Auckland council (who are only concerned with the concreting/cobbling of the paved areas) has been a mammoth job and when it is completed, will be a cause for great celebration after years of lobbying by a few stalwart community members alongside the Local board.</w:t>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b/>
                                        <w:bCs/>
                                        <w:i/>
                                        <w:iCs/>
                                        <w:color w:val="0D0D0D"/>
                                        <w:sz w:val="14"/>
                                        <w:lang w:eastAsia="en-AU"/>
                                      </w:rPr>
                                      <w:t>Communication</w:t>
                                    </w:r>
                                    <w:r w:rsidRPr="008918C0">
                                      <w:rPr>
                                        <w:rFonts w:ascii="Helvetica" w:eastAsia="Times New Roman" w:hAnsi="Helvetica" w:cs="Helvetica"/>
                                        <w:color w:val="0D0D0D"/>
                                        <w:sz w:val="14"/>
                                        <w:szCs w:val="14"/>
                                        <w:lang w:eastAsia="en-AU"/>
                                      </w:rPr>
                                      <w:br/>
                                      <w:t>MCG now has an integrated communication and involvement plan.  This is part of our drive to widen MCG’s membership and to keep more people in the community informed and involved. Membership has already grown considerably since our Vision Matakana event in August and both the Around Matakana newsletter and the Community Facebook page have increased their subscribers.</w:t>
                                    </w: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tblPr>
                  <w:tblGrid>
                    <w:gridCol w:w="9026"/>
                  </w:tblGrid>
                  <w:tr w:rsidR="008918C0" w:rsidRPr="008918C0">
                    <w:tc>
                      <w:tcPr>
                        <w:tcW w:w="0" w:type="auto"/>
                        <w:hideMark/>
                      </w:tcPr>
                      <w:tbl>
                        <w:tblPr>
                          <w:tblpPr w:leftFromText="36" w:rightFromText="36" w:vertAnchor="text"/>
                          <w:tblW w:w="5000" w:type="pct"/>
                          <w:tblCellMar>
                            <w:left w:w="0" w:type="dxa"/>
                            <w:right w:w="0" w:type="dxa"/>
                          </w:tblCellMar>
                          <w:tblLook w:val="04A0"/>
                        </w:tblPr>
                        <w:tblGrid>
                          <w:gridCol w:w="9026"/>
                        </w:tblGrid>
                        <w:tr w:rsidR="008918C0" w:rsidRPr="008918C0">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6"/>
                              </w:tblGrid>
                              <w:tr w:rsidR="008918C0" w:rsidRPr="008918C0">
                                <w:tc>
                                  <w:tcPr>
                                    <w:tcW w:w="0" w:type="auto"/>
                                    <w:tcMar>
                                      <w:top w:w="180" w:type="dxa"/>
                                      <w:left w:w="180" w:type="dxa"/>
                                      <w:bottom w:w="180" w:type="dxa"/>
                                      <w:right w:w="180" w:type="dxa"/>
                                    </w:tcMar>
                                    <w:hideMark/>
                                  </w:tcPr>
                                  <w:p w:rsidR="008918C0" w:rsidRPr="008918C0" w:rsidRDefault="008918C0" w:rsidP="008918C0">
                                    <w:pPr>
                                      <w:spacing w:before="0" w:after="0" w:line="213" w:lineRule="atLeast"/>
                                      <w:jc w:val="center"/>
                                      <w:rPr>
                                        <w:rFonts w:ascii="Helvetica" w:eastAsia="Times New Roman" w:hAnsi="Helvetica" w:cs="Helvetica"/>
                                        <w:color w:val="0D0D0D"/>
                                        <w:sz w:val="14"/>
                                        <w:szCs w:val="14"/>
                                        <w:lang w:eastAsia="en-AU"/>
                                      </w:rPr>
                                    </w:pPr>
                                    <w:r w:rsidRPr="008918C0">
                                      <w:rPr>
                                        <w:rFonts w:ascii="Helvetica" w:eastAsia="Times New Roman" w:hAnsi="Helvetica" w:cs="Helvetica"/>
                                        <w:b/>
                                        <w:bCs/>
                                        <w:color w:val="0D0D0D"/>
                                        <w:sz w:val="18"/>
                                        <w:lang w:eastAsia="en-AU"/>
                                      </w:rPr>
                                      <w:t>People</w:t>
                                    </w:r>
                                  </w:p>
                                  <w:p w:rsidR="008918C0" w:rsidRPr="008918C0" w:rsidRDefault="008918C0" w:rsidP="008918C0">
                                    <w:pPr>
                                      <w:spacing w:before="0" w:after="0" w:line="213" w:lineRule="atLeast"/>
                                      <w:rPr>
                                        <w:rFonts w:ascii="Helvetica" w:eastAsia="Times New Roman" w:hAnsi="Helvetica" w:cs="Helvetica"/>
                                        <w:color w:val="0D0D0D"/>
                                        <w:sz w:val="14"/>
                                        <w:szCs w:val="14"/>
                                        <w:lang w:eastAsia="en-AU"/>
                                      </w:rPr>
                                    </w:pPr>
                                    <w:r w:rsidRPr="008918C0">
                                      <w:rPr>
                                        <w:rFonts w:ascii="Helvetica" w:eastAsia="Times New Roman" w:hAnsi="Helvetica" w:cs="Helvetica"/>
                                        <w:b/>
                                        <w:bCs/>
                                        <w:i/>
                                        <w:iCs/>
                                        <w:color w:val="0D0D0D"/>
                                        <w:sz w:val="14"/>
                                        <w:lang w:eastAsia="en-AU"/>
                                      </w:rPr>
                                      <w:t xml:space="preserve">Comings and goings </w:t>
                                    </w:r>
                                    <w:r w:rsidRPr="008918C0">
                                      <w:rPr>
                                        <w:rFonts w:ascii="Helvetica" w:eastAsia="Times New Roman" w:hAnsi="Helvetica" w:cs="Helvetica"/>
                                        <w:color w:val="0D0D0D"/>
                                        <w:sz w:val="14"/>
                                        <w:szCs w:val="14"/>
                                        <w:lang w:eastAsia="en-AU"/>
                                      </w:rPr>
                                      <w:br/>
                                      <w:t xml:space="preserve">Murray Wallace and Paul Roberts have both left Matakana in the past month. Murray was one of those knowledgeable old campaigners who fought for us through the council morass. He will be sadly missed here although his life will be less stressful up in </w:t>
                                    </w:r>
                                    <w:proofErr w:type="spellStart"/>
                                    <w:r w:rsidRPr="008918C0">
                                      <w:rPr>
                                        <w:rFonts w:ascii="Helvetica" w:eastAsia="Times New Roman" w:hAnsi="Helvetica" w:cs="Helvetica"/>
                                        <w:color w:val="0D0D0D"/>
                                        <w:sz w:val="14"/>
                                        <w:szCs w:val="14"/>
                                        <w:lang w:eastAsia="en-AU"/>
                                      </w:rPr>
                                      <w:t>Kerikeri</w:t>
                                    </w:r>
                                    <w:proofErr w:type="spellEnd"/>
                                    <w:r w:rsidRPr="008918C0">
                                      <w:rPr>
                                        <w:rFonts w:ascii="Helvetica" w:eastAsia="Times New Roman" w:hAnsi="Helvetica" w:cs="Helvetica"/>
                                        <w:color w:val="0D0D0D"/>
                                        <w:sz w:val="14"/>
                                        <w:szCs w:val="14"/>
                                        <w:lang w:eastAsia="en-AU"/>
                                      </w:rPr>
                                      <w:t>!</w:t>
                                    </w:r>
                                    <w:r w:rsidRPr="008918C0">
                                      <w:rPr>
                                        <w:rFonts w:ascii="Helvetica" w:eastAsia="Times New Roman" w:hAnsi="Helvetica" w:cs="Helvetica"/>
                                        <w:color w:val="0D0D0D"/>
                                        <w:sz w:val="14"/>
                                        <w:szCs w:val="14"/>
                                        <w:lang w:eastAsia="en-AU"/>
                                      </w:rPr>
                                      <w:br/>
                                      <w:t xml:space="preserve">Paul was new to Matakana, living in the Matakana Green development. He immediately offered his services very generously and managed a group of locals who updated the original Sustainable Development plan for Matakana from 2006. His legacy was a new </w:t>
                                    </w:r>
                                    <w:r w:rsidRPr="008918C0">
                                      <w:rPr>
                                        <w:rFonts w:ascii="Helvetica" w:eastAsia="Times New Roman" w:hAnsi="Helvetica" w:cs="Helvetica"/>
                                        <w:color w:val="0D0D0D"/>
                                        <w:sz w:val="14"/>
                                        <w:szCs w:val="14"/>
                                        <w:lang w:eastAsia="en-AU"/>
                                      </w:rPr>
                                      <w:lastRenderedPageBreak/>
                                      <w:t xml:space="preserve">strategy – the 2018 Future Matakana Plan from which the Vision Matakana event and this review of our Community Group priorities arose. He is now enjoying apartment living at Kensington Park in </w:t>
                                    </w:r>
                                    <w:proofErr w:type="spellStart"/>
                                    <w:r w:rsidRPr="008918C0">
                                      <w:rPr>
                                        <w:rFonts w:ascii="Helvetica" w:eastAsia="Times New Roman" w:hAnsi="Helvetica" w:cs="Helvetica"/>
                                        <w:color w:val="0D0D0D"/>
                                        <w:sz w:val="14"/>
                                        <w:szCs w:val="14"/>
                                        <w:lang w:eastAsia="en-AU"/>
                                      </w:rPr>
                                      <w:t>Orewa</w:t>
                                    </w:r>
                                    <w:proofErr w:type="spellEnd"/>
                                    <w:r w:rsidRPr="008918C0">
                                      <w:rPr>
                                        <w:rFonts w:ascii="Helvetica" w:eastAsia="Times New Roman" w:hAnsi="Helvetica" w:cs="Helvetica"/>
                                        <w:color w:val="0D0D0D"/>
                                        <w:sz w:val="14"/>
                                        <w:szCs w:val="14"/>
                                        <w:lang w:eastAsia="en-AU"/>
                                      </w:rPr>
                                      <w:t>!</w:t>
                                    </w:r>
                                    <w:r w:rsidRPr="008918C0">
                                      <w:rPr>
                                        <w:rFonts w:ascii="Helvetica" w:eastAsia="Times New Roman" w:hAnsi="Helvetica" w:cs="Helvetica"/>
                                        <w:color w:val="0D0D0D"/>
                                        <w:sz w:val="14"/>
                                        <w:szCs w:val="14"/>
                                        <w:lang w:eastAsia="en-AU"/>
                                      </w:rPr>
                                      <w:br/>
                                      <w:t xml:space="preserve">On the other hand, we are pleased to welcome Rachel </w:t>
                                    </w:r>
                                    <w:proofErr w:type="spellStart"/>
                                    <w:r w:rsidRPr="008918C0">
                                      <w:rPr>
                                        <w:rFonts w:ascii="Helvetica" w:eastAsia="Times New Roman" w:hAnsi="Helvetica" w:cs="Helvetica"/>
                                        <w:color w:val="0D0D0D"/>
                                        <w:sz w:val="14"/>
                                        <w:szCs w:val="14"/>
                                        <w:lang w:eastAsia="en-AU"/>
                                      </w:rPr>
                                      <w:t>Demler</w:t>
                                    </w:r>
                                    <w:proofErr w:type="spellEnd"/>
                                    <w:r w:rsidRPr="008918C0">
                                      <w:rPr>
                                        <w:rFonts w:ascii="Helvetica" w:eastAsia="Times New Roman" w:hAnsi="Helvetica" w:cs="Helvetica"/>
                                        <w:color w:val="0D0D0D"/>
                                        <w:sz w:val="14"/>
                                        <w:szCs w:val="14"/>
                                        <w:lang w:eastAsia="en-AU"/>
                                      </w:rPr>
                                      <w:t xml:space="preserve"> who has joined the community communication team and taken on the role of website manager. There are some existing connections - her mother-in-law is already a well-known member of the Matakantata choir!</w:t>
                                    </w:r>
                                    <w:r w:rsidRPr="008918C0">
                                      <w:rPr>
                                        <w:rFonts w:ascii="Helvetica" w:eastAsia="Times New Roman" w:hAnsi="Helvetica" w:cs="Helvetica"/>
                                        <w:color w:val="0D0D0D"/>
                                        <w:sz w:val="14"/>
                                        <w:szCs w:val="14"/>
                                        <w:lang w:eastAsia="en-AU"/>
                                      </w:rPr>
                                      <w:br/>
                                      <w:t> </w:t>
                                    </w:r>
                                  </w:p>
                                  <w:p w:rsidR="008918C0" w:rsidRPr="008918C0" w:rsidRDefault="008918C0" w:rsidP="008918C0">
                                    <w:pPr>
                                      <w:spacing w:before="0" w:after="0" w:line="213" w:lineRule="atLeast"/>
                                      <w:rPr>
                                        <w:rFonts w:ascii="Helvetica" w:eastAsia="Times New Roman" w:hAnsi="Helvetica" w:cs="Helvetica"/>
                                        <w:color w:val="0D0D0D"/>
                                        <w:sz w:val="14"/>
                                        <w:szCs w:val="14"/>
                                        <w:lang w:eastAsia="en-AU"/>
                                      </w:rPr>
                                    </w:pPr>
                                    <w:r w:rsidRPr="008918C0">
                                      <w:rPr>
                                        <w:rFonts w:ascii="Helvetica" w:eastAsia="Times New Roman" w:hAnsi="Helvetica" w:cs="Helvetica"/>
                                        <w:b/>
                                        <w:bCs/>
                                        <w:i/>
                                        <w:iCs/>
                                        <w:color w:val="0D0D0D"/>
                                        <w:sz w:val="14"/>
                                        <w:lang w:eastAsia="en-AU"/>
                                      </w:rPr>
                                      <w:t>Cookbook success</w:t>
                                    </w:r>
                                    <w:r w:rsidRPr="008918C0">
                                      <w:rPr>
                                        <w:rFonts w:ascii="Helvetica" w:eastAsia="Times New Roman" w:hAnsi="Helvetica" w:cs="Helvetica"/>
                                        <w:color w:val="0D0D0D"/>
                                        <w:sz w:val="14"/>
                                        <w:szCs w:val="14"/>
                                        <w:lang w:eastAsia="en-AU"/>
                                      </w:rPr>
                                      <w:br/>
                                      <w:t xml:space="preserve">Congratulations to everyone who crafted, marketed and took part in the new ‘Village Table’ cookbook.  This initiative from some energetic mothers at the local school turned into a product that will not only fundraise for the school, but also be something that we can all feel proud of in Matakana. Thanks to the hard work of the cookbook team Peter Young, Lori </w:t>
                                    </w:r>
                                    <w:proofErr w:type="spellStart"/>
                                    <w:r w:rsidRPr="008918C0">
                                      <w:rPr>
                                        <w:rFonts w:ascii="Helvetica" w:eastAsia="Times New Roman" w:hAnsi="Helvetica" w:cs="Helvetica"/>
                                        <w:color w:val="0D0D0D"/>
                                        <w:sz w:val="14"/>
                                        <w:szCs w:val="14"/>
                                        <w:lang w:eastAsia="en-AU"/>
                                      </w:rPr>
                                      <w:t>Satterthwaite</w:t>
                                    </w:r>
                                    <w:proofErr w:type="spellEnd"/>
                                    <w:r w:rsidRPr="008918C0">
                                      <w:rPr>
                                        <w:rFonts w:ascii="Helvetica" w:eastAsia="Times New Roman" w:hAnsi="Helvetica" w:cs="Helvetica"/>
                                        <w:color w:val="0D0D0D"/>
                                        <w:sz w:val="14"/>
                                        <w:szCs w:val="14"/>
                                        <w:lang w:eastAsia="en-AU"/>
                                      </w:rPr>
                                      <w:t xml:space="preserve">, Christine </w:t>
                                    </w:r>
                                    <w:proofErr w:type="spellStart"/>
                                    <w:r w:rsidRPr="008918C0">
                                      <w:rPr>
                                        <w:rFonts w:ascii="Helvetica" w:eastAsia="Times New Roman" w:hAnsi="Helvetica" w:cs="Helvetica"/>
                                        <w:color w:val="0D0D0D"/>
                                        <w:sz w:val="14"/>
                                        <w:szCs w:val="14"/>
                                        <w:lang w:eastAsia="en-AU"/>
                                      </w:rPr>
                                      <w:t>Sheehy</w:t>
                                    </w:r>
                                    <w:proofErr w:type="spellEnd"/>
                                    <w:r w:rsidRPr="008918C0">
                                      <w:rPr>
                                        <w:rFonts w:ascii="Helvetica" w:eastAsia="Times New Roman" w:hAnsi="Helvetica" w:cs="Helvetica"/>
                                        <w:color w:val="0D0D0D"/>
                                        <w:sz w:val="14"/>
                                        <w:szCs w:val="14"/>
                                        <w:lang w:eastAsia="en-AU"/>
                                      </w:rPr>
                                      <w:t xml:space="preserve">, Kate Arbuthnot, Monique Thomas, Emily Parker, </w:t>
                                    </w:r>
                                    <w:proofErr w:type="spellStart"/>
                                    <w:r w:rsidRPr="008918C0">
                                      <w:rPr>
                                        <w:rFonts w:ascii="Helvetica" w:eastAsia="Times New Roman" w:hAnsi="Helvetica" w:cs="Helvetica"/>
                                        <w:color w:val="0D0D0D"/>
                                        <w:sz w:val="14"/>
                                        <w:szCs w:val="14"/>
                                        <w:lang w:eastAsia="en-AU"/>
                                      </w:rPr>
                                      <w:t>Laurette</w:t>
                                    </w:r>
                                    <w:proofErr w:type="spellEnd"/>
                                    <w:r w:rsidRPr="008918C0">
                                      <w:rPr>
                                        <w:rFonts w:ascii="Helvetica" w:eastAsia="Times New Roman" w:hAnsi="Helvetica" w:cs="Helvetica"/>
                                        <w:color w:val="0D0D0D"/>
                                        <w:sz w:val="14"/>
                                        <w:szCs w:val="14"/>
                                        <w:lang w:eastAsia="en-AU"/>
                                      </w:rPr>
                                      <w:t xml:space="preserve"> </w:t>
                                    </w:r>
                                    <w:proofErr w:type="spellStart"/>
                                    <w:r w:rsidRPr="008918C0">
                                      <w:rPr>
                                        <w:rFonts w:ascii="Helvetica" w:eastAsia="Times New Roman" w:hAnsi="Helvetica" w:cs="Helvetica"/>
                                        <w:color w:val="0D0D0D"/>
                                        <w:sz w:val="14"/>
                                        <w:szCs w:val="14"/>
                                        <w:lang w:eastAsia="en-AU"/>
                                      </w:rPr>
                                      <w:t>Macky</w:t>
                                    </w:r>
                                    <w:proofErr w:type="spellEnd"/>
                                    <w:r w:rsidRPr="008918C0">
                                      <w:rPr>
                                        <w:rFonts w:ascii="Helvetica" w:eastAsia="Times New Roman" w:hAnsi="Helvetica" w:cs="Helvetica"/>
                                        <w:color w:val="0D0D0D"/>
                                        <w:sz w:val="14"/>
                                        <w:szCs w:val="14"/>
                                        <w:lang w:eastAsia="en-AU"/>
                                      </w:rPr>
                                      <w:t xml:space="preserve">, Amanda </w:t>
                                    </w:r>
                                    <w:proofErr w:type="spellStart"/>
                                    <w:r w:rsidRPr="008918C0">
                                      <w:rPr>
                                        <w:rFonts w:ascii="Helvetica" w:eastAsia="Times New Roman" w:hAnsi="Helvetica" w:cs="Helvetica"/>
                                        <w:color w:val="0D0D0D"/>
                                        <w:sz w:val="14"/>
                                        <w:szCs w:val="14"/>
                                        <w:lang w:eastAsia="en-AU"/>
                                      </w:rPr>
                                      <w:t>Garthwaite</w:t>
                                    </w:r>
                                    <w:proofErr w:type="spellEnd"/>
                                    <w:r w:rsidRPr="008918C0">
                                      <w:rPr>
                                        <w:rFonts w:ascii="Helvetica" w:eastAsia="Times New Roman" w:hAnsi="Helvetica" w:cs="Helvetica"/>
                                        <w:color w:val="0D0D0D"/>
                                        <w:sz w:val="14"/>
                                        <w:szCs w:val="14"/>
                                        <w:lang w:eastAsia="en-AU"/>
                                      </w:rPr>
                                      <w:t xml:space="preserve">, Sally Jack, </w:t>
                                    </w:r>
                                    <w:proofErr w:type="spellStart"/>
                                    <w:r w:rsidRPr="008918C0">
                                      <w:rPr>
                                        <w:rFonts w:ascii="Helvetica" w:eastAsia="Times New Roman" w:hAnsi="Helvetica" w:cs="Helvetica"/>
                                        <w:color w:val="0D0D0D"/>
                                        <w:sz w:val="14"/>
                                        <w:szCs w:val="14"/>
                                        <w:lang w:eastAsia="en-AU"/>
                                      </w:rPr>
                                      <w:t>Anneliese</w:t>
                                    </w:r>
                                    <w:proofErr w:type="spellEnd"/>
                                    <w:r w:rsidRPr="008918C0">
                                      <w:rPr>
                                        <w:rFonts w:ascii="Helvetica" w:eastAsia="Times New Roman" w:hAnsi="Helvetica" w:cs="Helvetica"/>
                                        <w:color w:val="0D0D0D"/>
                                        <w:sz w:val="14"/>
                                        <w:szCs w:val="14"/>
                                        <w:lang w:eastAsia="en-AU"/>
                                      </w:rPr>
                                      <w:t xml:space="preserve"> Parker and Katherine Norman. Thanks also to Danvers from Matakana Botanicals who has been extremely supportive - providing gift baskets as prizes and he also provided us with quite a few bottles of </w:t>
                                    </w:r>
                                    <w:proofErr w:type="spellStart"/>
                                    <w:r w:rsidRPr="008918C0">
                                      <w:rPr>
                                        <w:rFonts w:ascii="Helvetica" w:eastAsia="Times New Roman" w:hAnsi="Helvetica" w:cs="Helvetica"/>
                                        <w:color w:val="0D0D0D"/>
                                        <w:sz w:val="14"/>
                                        <w:szCs w:val="14"/>
                                        <w:lang w:eastAsia="en-AU"/>
                                      </w:rPr>
                                      <w:t>handwash</w:t>
                                    </w:r>
                                    <w:proofErr w:type="spellEnd"/>
                                    <w:r w:rsidRPr="008918C0">
                                      <w:rPr>
                                        <w:rFonts w:ascii="Helvetica" w:eastAsia="Times New Roman" w:hAnsi="Helvetica" w:cs="Helvetica"/>
                                        <w:color w:val="0D0D0D"/>
                                        <w:sz w:val="14"/>
                                        <w:szCs w:val="14"/>
                                        <w:lang w:eastAsia="en-AU"/>
                                      </w:rPr>
                                      <w:t xml:space="preserve"> to give away with bulk purchases of 10 or more books. The book is selling really well and the feedback from customers has been extremely positive. Not only are locals buying it but it’s been popular with visitors to the area as it makes a wonderful keepsake.</w:t>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color w:val="0D0D0D"/>
                                        <w:sz w:val="14"/>
                                        <w:szCs w:val="14"/>
                                        <w:lang w:eastAsia="en-AU"/>
                                      </w:rPr>
                                      <w:br/>
                                    </w:r>
                                    <w:r w:rsidRPr="008918C0">
                                      <w:rPr>
                                        <w:rFonts w:ascii="Helvetica" w:eastAsia="Times New Roman" w:hAnsi="Helvetica" w:cs="Helvetica"/>
                                        <w:b/>
                                        <w:bCs/>
                                        <w:i/>
                                        <w:iCs/>
                                        <w:color w:val="0D0D0D"/>
                                        <w:sz w:val="14"/>
                                        <w:lang w:eastAsia="en-AU"/>
                                      </w:rPr>
                                      <w:t>Cherry tree planting</w:t>
                                    </w:r>
                                    <w:r w:rsidRPr="008918C0">
                                      <w:rPr>
                                        <w:rFonts w:ascii="Helvetica" w:eastAsia="Times New Roman" w:hAnsi="Helvetica" w:cs="Helvetica"/>
                                        <w:color w:val="0D0D0D"/>
                                        <w:sz w:val="14"/>
                                        <w:szCs w:val="14"/>
                                        <w:lang w:eastAsia="en-AU"/>
                                      </w:rPr>
                                      <w:br/>
                                      <w:t>Last month we reported on the Cherry tree planting by Neville and others along the roadside of the school car park. What we didn’t do was to say thank you to the community garden who paid for it and Angelica Garcia Pedersen who managed the process. It’s looking lovely- thank you!  </w:t>
                                    </w: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tblPr>
                  <w:tblGrid>
                    <w:gridCol w:w="9026"/>
                  </w:tblGrid>
                  <w:tr w:rsidR="008918C0" w:rsidRPr="008918C0">
                    <w:tc>
                      <w:tcPr>
                        <w:tcW w:w="0" w:type="auto"/>
                        <w:tcMar>
                          <w:top w:w="90"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26"/>
                        </w:tblGrid>
                        <w:tr w:rsidR="008918C0" w:rsidRPr="008918C0">
                          <w:tc>
                            <w:tcPr>
                              <w:tcW w:w="0" w:type="auto"/>
                              <w:tcMar>
                                <w:top w:w="0" w:type="dxa"/>
                                <w:left w:w="180" w:type="dxa"/>
                                <w:bottom w:w="90" w:type="dxa"/>
                                <w:right w:w="180" w:type="dxa"/>
                              </w:tcMar>
                              <w:hideMark/>
                            </w:tcPr>
                            <w:p w:rsidR="008918C0" w:rsidRPr="008918C0" w:rsidRDefault="008918C0" w:rsidP="008918C0">
                              <w:pPr>
                                <w:spacing w:before="0" w:after="0" w:line="213" w:lineRule="atLeast"/>
                                <w:jc w:val="center"/>
                                <w:rPr>
                                  <w:rFonts w:ascii="Arial" w:eastAsia="Times New Roman" w:hAnsi="Arial" w:cs="Arial"/>
                                  <w:color w:val="202020"/>
                                  <w:sz w:val="14"/>
                                  <w:szCs w:val="14"/>
                                  <w:lang w:eastAsia="en-AU"/>
                                </w:rPr>
                              </w:pPr>
                              <w:r w:rsidRPr="008918C0">
                                <w:rPr>
                                  <w:rFonts w:ascii="Arial" w:eastAsia="Times New Roman" w:hAnsi="Arial" w:cs="Arial"/>
                                  <w:color w:val="202020"/>
                                  <w:sz w:val="14"/>
                                  <w:szCs w:val="14"/>
                                  <w:lang w:eastAsia="en-AU"/>
                                </w:rPr>
                                <w:br/>
                              </w:r>
                              <w:r w:rsidRPr="008918C0">
                                <w:rPr>
                                  <w:rFonts w:ascii="Arial" w:eastAsia="Times New Roman" w:hAnsi="Arial" w:cs="Arial"/>
                                  <w:b/>
                                  <w:bCs/>
                                  <w:color w:val="202020"/>
                                  <w:sz w:val="18"/>
                                  <w:lang w:eastAsia="en-AU"/>
                                </w:rPr>
                                <w:t>Points ahead and information</w:t>
                              </w:r>
                              <w:r w:rsidRPr="008918C0">
                                <w:rPr>
                                  <w:rFonts w:ascii="Arial" w:eastAsia="Times New Roman" w:hAnsi="Arial" w:cs="Arial"/>
                                  <w:color w:val="202020"/>
                                  <w:sz w:val="14"/>
                                  <w:szCs w:val="14"/>
                                  <w:lang w:eastAsia="en-AU"/>
                                </w:rPr>
                                <w:br/>
                                <w:t> </w:t>
                              </w:r>
                            </w:p>
                            <w:p w:rsidR="008918C0" w:rsidRPr="008918C0" w:rsidRDefault="008918C0" w:rsidP="008918C0">
                              <w:pPr>
                                <w:spacing w:before="0" w:after="0" w:line="213" w:lineRule="atLeast"/>
                                <w:rPr>
                                  <w:rFonts w:ascii="Arial" w:eastAsia="Times New Roman" w:hAnsi="Arial" w:cs="Arial"/>
                                  <w:color w:val="202020"/>
                                  <w:sz w:val="14"/>
                                  <w:szCs w:val="14"/>
                                  <w:lang w:eastAsia="en-AU"/>
                                </w:rPr>
                              </w:pPr>
                              <w:r w:rsidRPr="008918C0">
                                <w:rPr>
                                  <w:rFonts w:ascii="Arial" w:eastAsia="Times New Roman" w:hAnsi="Arial" w:cs="Arial"/>
                                  <w:b/>
                                  <w:bCs/>
                                  <w:i/>
                                  <w:iCs/>
                                  <w:color w:val="202020"/>
                                  <w:sz w:val="14"/>
                                  <w:lang w:eastAsia="en-AU"/>
                                </w:rPr>
                                <w:t>AGM on 1</w:t>
                              </w:r>
                              <w:r w:rsidRPr="008918C0">
                                <w:rPr>
                                  <w:rFonts w:ascii="Arial" w:eastAsia="Times New Roman" w:hAnsi="Arial" w:cs="Arial"/>
                                  <w:b/>
                                  <w:bCs/>
                                  <w:i/>
                                  <w:iCs/>
                                  <w:color w:val="202020"/>
                                  <w:sz w:val="14"/>
                                  <w:vertAlign w:val="superscript"/>
                                  <w:lang w:eastAsia="en-AU"/>
                                </w:rPr>
                                <w:t>st</w:t>
                              </w:r>
                              <w:r w:rsidRPr="008918C0">
                                <w:rPr>
                                  <w:rFonts w:ascii="Arial" w:eastAsia="Times New Roman" w:hAnsi="Arial" w:cs="Arial"/>
                                  <w:b/>
                                  <w:bCs/>
                                  <w:i/>
                                  <w:iCs/>
                                  <w:color w:val="202020"/>
                                  <w:sz w:val="14"/>
                                  <w:lang w:eastAsia="en-AU"/>
                                </w:rPr>
                                <w:t xml:space="preserve"> Nov</w:t>
                              </w:r>
                            </w:p>
                            <w:p w:rsidR="008918C0" w:rsidRPr="008918C0" w:rsidRDefault="008918C0" w:rsidP="008918C0">
                              <w:pPr>
                                <w:spacing w:before="0" w:after="0" w:line="213" w:lineRule="atLeast"/>
                                <w:rPr>
                                  <w:rFonts w:ascii="Arial" w:eastAsia="Times New Roman" w:hAnsi="Arial" w:cs="Arial"/>
                                  <w:color w:val="202020"/>
                                  <w:sz w:val="14"/>
                                  <w:szCs w:val="14"/>
                                  <w:lang w:eastAsia="en-AU"/>
                                </w:rPr>
                              </w:pPr>
                              <w:r w:rsidRPr="008918C0">
                                <w:rPr>
                                  <w:rFonts w:ascii="Arial" w:eastAsia="Times New Roman" w:hAnsi="Arial" w:cs="Arial"/>
                                  <w:color w:val="202020"/>
                                  <w:sz w:val="14"/>
                                  <w:szCs w:val="14"/>
                                  <w:lang w:eastAsia="en-AU"/>
                                </w:rPr>
                                <w:t>Please join us to celebrate together and meet! 7-35pm in the main Matakana Hall on Thursday 1</w:t>
                              </w:r>
                              <w:r w:rsidRPr="008918C0">
                                <w:rPr>
                                  <w:rFonts w:ascii="Arial" w:eastAsia="Times New Roman" w:hAnsi="Arial" w:cs="Arial"/>
                                  <w:color w:val="202020"/>
                                  <w:sz w:val="14"/>
                                  <w:szCs w:val="14"/>
                                  <w:vertAlign w:val="superscript"/>
                                  <w:lang w:eastAsia="en-AU"/>
                                </w:rPr>
                                <w:t>st</w:t>
                              </w:r>
                              <w:r w:rsidRPr="008918C0">
                                <w:rPr>
                                  <w:rFonts w:ascii="Arial" w:eastAsia="Times New Roman" w:hAnsi="Arial" w:cs="Arial"/>
                                  <w:color w:val="202020"/>
                                  <w:sz w:val="14"/>
                                  <w:szCs w:val="14"/>
                                  <w:lang w:eastAsia="en-AU"/>
                                </w:rPr>
                                <w:t xml:space="preserve"> November.</w:t>
                              </w:r>
                              <w:r w:rsidRPr="008918C0">
                                <w:rPr>
                                  <w:rFonts w:ascii="Arial" w:eastAsia="Times New Roman" w:hAnsi="Arial" w:cs="Arial"/>
                                  <w:color w:val="202020"/>
                                  <w:sz w:val="14"/>
                                  <w:szCs w:val="14"/>
                                  <w:lang w:eastAsia="en-AU"/>
                                </w:rPr>
                                <w:br/>
                              </w:r>
                              <w:r w:rsidRPr="008918C0">
                                <w:rPr>
                                  <w:rFonts w:ascii="Arial" w:eastAsia="Times New Roman" w:hAnsi="Arial" w:cs="Arial"/>
                                  <w:color w:val="202020"/>
                                  <w:sz w:val="14"/>
                                  <w:szCs w:val="14"/>
                                  <w:lang w:eastAsia="en-AU"/>
                                </w:rPr>
                                <w:br/>
                              </w:r>
                              <w:r w:rsidRPr="008918C0">
                                <w:rPr>
                                  <w:rFonts w:ascii="Arial" w:eastAsia="Times New Roman" w:hAnsi="Arial" w:cs="Arial"/>
                                  <w:b/>
                                  <w:bCs/>
                                  <w:i/>
                                  <w:iCs/>
                                  <w:color w:val="202020"/>
                                  <w:sz w:val="14"/>
                                  <w:lang w:eastAsia="en-AU"/>
                                </w:rPr>
                                <w:t>Matakana Link Rd</w:t>
                              </w:r>
                              <w:r w:rsidRPr="008918C0">
                                <w:rPr>
                                  <w:rFonts w:ascii="Arial" w:eastAsia="Times New Roman" w:hAnsi="Arial" w:cs="Arial"/>
                                  <w:color w:val="202020"/>
                                  <w:sz w:val="14"/>
                                  <w:szCs w:val="14"/>
                                  <w:lang w:eastAsia="en-AU"/>
                                </w:rPr>
                                <w:br/>
                                <w:t>The community strongly supports the original four lane Matakana link Rd. The link road is planned to open along with the new motorway in 2021. The budget for this has been reduced to two lanes, Greg will be asking for an explanation from council about this.</w:t>
                              </w:r>
                              <w:r w:rsidRPr="008918C0">
                                <w:rPr>
                                  <w:rFonts w:ascii="Arial" w:eastAsia="Times New Roman" w:hAnsi="Arial" w:cs="Arial"/>
                                  <w:color w:val="202020"/>
                                  <w:sz w:val="14"/>
                                  <w:szCs w:val="14"/>
                                  <w:lang w:eastAsia="en-AU"/>
                                </w:rPr>
                                <w:br/>
                              </w:r>
                              <w:r w:rsidRPr="008918C0">
                                <w:rPr>
                                  <w:rFonts w:ascii="Arial" w:eastAsia="Times New Roman" w:hAnsi="Arial" w:cs="Arial"/>
                                  <w:color w:val="202020"/>
                                  <w:sz w:val="14"/>
                                  <w:szCs w:val="14"/>
                                  <w:lang w:eastAsia="en-AU"/>
                                </w:rPr>
                                <w:br/>
                              </w:r>
                              <w:r w:rsidRPr="008918C0">
                                <w:rPr>
                                  <w:rFonts w:ascii="Arial" w:eastAsia="Times New Roman" w:hAnsi="Arial" w:cs="Arial"/>
                                  <w:b/>
                                  <w:bCs/>
                                  <w:i/>
                                  <w:iCs/>
                                  <w:color w:val="202020"/>
                                  <w:sz w:val="14"/>
                                  <w:lang w:eastAsia="en-AU"/>
                                </w:rPr>
                                <w:t>Tamahunga Bridge Opening</w:t>
                              </w:r>
                              <w:r w:rsidRPr="008918C0">
                                <w:rPr>
                                  <w:rFonts w:ascii="Arial" w:eastAsia="Times New Roman" w:hAnsi="Arial" w:cs="Arial"/>
                                  <w:color w:val="202020"/>
                                  <w:sz w:val="14"/>
                                  <w:szCs w:val="14"/>
                                  <w:lang w:eastAsia="en-AU"/>
                                </w:rPr>
                                <w:br/>
                                <w:t>The community is hoping to arrange this to coincide with the school Christmas celebrations on 23</w:t>
                              </w:r>
                              <w:r w:rsidRPr="008918C0">
                                <w:rPr>
                                  <w:rFonts w:ascii="Arial" w:eastAsia="Times New Roman" w:hAnsi="Arial" w:cs="Arial"/>
                                  <w:color w:val="202020"/>
                                  <w:sz w:val="14"/>
                                  <w:szCs w:val="14"/>
                                  <w:vertAlign w:val="superscript"/>
                                  <w:lang w:eastAsia="en-AU"/>
                                </w:rPr>
                                <w:t>rd</w:t>
                              </w:r>
                              <w:r w:rsidRPr="008918C0">
                                <w:rPr>
                                  <w:rFonts w:ascii="Arial" w:eastAsia="Times New Roman" w:hAnsi="Arial" w:cs="Arial"/>
                                  <w:color w:val="202020"/>
                                  <w:sz w:val="14"/>
                                  <w:szCs w:val="14"/>
                                  <w:lang w:eastAsia="en-AU"/>
                                </w:rPr>
                                <w:t xml:space="preserve"> November if all parties are in agreement.</w:t>
                              </w:r>
                              <w:r w:rsidRPr="008918C0">
                                <w:rPr>
                                  <w:rFonts w:ascii="Arial" w:eastAsia="Times New Roman" w:hAnsi="Arial" w:cs="Arial"/>
                                  <w:color w:val="202020"/>
                                  <w:sz w:val="14"/>
                                  <w:szCs w:val="14"/>
                                  <w:lang w:eastAsia="en-AU"/>
                                </w:rPr>
                                <w:br/>
                              </w:r>
                              <w:r w:rsidRPr="008918C0">
                                <w:rPr>
                                  <w:rFonts w:ascii="Arial" w:eastAsia="Times New Roman" w:hAnsi="Arial" w:cs="Arial"/>
                                  <w:color w:val="202020"/>
                                  <w:sz w:val="14"/>
                                  <w:szCs w:val="14"/>
                                  <w:lang w:eastAsia="en-AU"/>
                                </w:rPr>
                                <w:br/>
                              </w:r>
                              <w:r w:rsidRPr="008918C0">
                                <w:rPr>
                                  <w:rFonts w:ascii="Arial" w:eastAsia="Times New Roman" w:hAnsi="Arial" w:cs="Arial"/>
                                  <w:b/>
                                  <w:bCs/>
                                  <w:i/>
                                  <w:iCs/>
                                  <w:color w:val="202020"/>
                                  <w:sz w:val="14"/>
                                  <w:lang w:eastAsia="en-AU"/>
                                </w:rPr>
                                <w:t>Bus stops</w:t>
                              </w:r>
                              <w:r w:rsidRPr="008918C0">
                                <w:rPr>
                                  <w:rFonts w:ascii="Arial" w:eastAsia="Times New Roman" w:hAnsi="Arial" w:cs="Arial"/>
                                  <w:color w:val="202020"/>
                                  <w:sz w:val="14"/>
                                  <w:szCs w:val="14"/>
                                  <w:lang w:eastAsia="en-AU"/>
                                </w:rPr>
                                <w:br/>
                                <w:t>Temporary bus stops have been placed outside the school car park and on the opposite side of the road.</w:t>
                              </w:r>
                              <w:r w:rsidRPr="008918C0">
                                <w:rPr>
                                  <w:rFonts w:ascii="Arial" w:eastAsia="Times New Roman" w:hAnsi="Arial" w:cs="Arial"/>
                                  <w:color w:val="202020"/>
                                  <w:sz w:val="14"/>
                                  <w:szCs w:val="14"/>
                                  <w:lang w:eastAsia="en-AU"/>
                                </w:rPr>
                                <w:br/>
                              </w:r>
                              <w:r w:rsidRPr="008918C0">
                                <w:rPr>
                                  <w:rFonts w:ascii="Arial" w:eastAsia="Times New Roman" w:hAnsi="Arial" w:cs="Arial"/>
                                  <w:color w:val="202020"/>
                                  <w:sz w:val="14"/>
                                  <w:szCs w:val="14"/>
                                  <w:lang w:eastAsia="en-AU"/>
                                </w:rPr>
                                <w:br/>
                              </w:r>
                              <w:r w:rsidRPr="008918C0">
                                <w:rPr>
                                  <w:rFonts w:ascii="Arial" w:eastAsia="Times New Roman" w:hAnsi="Arial" w:cs="Arial"/>
                                  <w:b/>
                                  <w:bCs/>
                                  <w:i/>
                                  <w:iCs/>
                                  <w:color w:val="202020"/>
                                  <w:sz w:val="14"/>
                                  <w:lang w:eastAsia="en-AU"/>
                                </w:rPr>
                                <w:t>Election signage</w:t>
                              </w:r>
                              <w:r w:rsidRPr="008918C0">
                                <w:rPr>
                                  <w:rFonts w:ascii="Arial" w:eastAsia="Times New Roman" w:hAnsi="Arial" w:cs="Arial"/>
                                  <w:color w:val="202020"/>
                                  <w:sz w:val="14"/>
                                  <w:szCs w:val="14"/>
                                  <w:lang w:eastAsia="en-AU"/>
                                </w:rPr>
                                <w:br/>
                                <w:t>There is an area along the roadside beyond the Tamahunga bridge by Tumbleweed that is designated for community notices. It is one of only a few in the area where election signs can be erected. Beth would like to know if the community wants to keep this site available. Come and discuss this at the AGM if you have a view.</w:t>
                              </w:r>
                              <w:r w:rsidRPr="008918C0">
                                <w:rPr>
                                  <w:rFonts w:ascii="Arial" w:eastAsia="Times New Roman" w:hAnsi="Arial" w:cs="Arial"/>
                                  <w:color w:val="202020"/>
                                  <w:sz w:val="14"/>
                                  <w:szCs w:val="14"/>
                                  <w:lang w:eastAsia="en-AU"/>
                                </w:rPr>
                                <w:br/>
                                <w:t> </w:t>
                              </w:r>
                            </w:p>
                            <w:p w:rsidR="008918C0" w:rsidRPr="008918C0" w:rsidRDefault="008918C0" w:rsidP="008918C0">
                              <w:pPr>
                                <w:spacing w:before="0" w:after="0" w:line="213" w:lineRule="atLeast"/>
                                <w:rPr>
                                  <w:rFonts w:ascii="Arial" w:eastAsia="Times New Roman" w:hAnsi="Arial" w:cs="Arial"/>
                                  <w:color w:val="202020"/>
                                  <w:sz w:val="14"/>
                                  <w:szCs w:val="14"/>
                                  <w:lang w:eastAsia="en-AU"/>
                                </w:rPr>
                              </w:pPr>
                              <w:r w:rsidRPr="008918C0">
                                <w:rPr>
                                  <w:rFonts w:ascii="Arial" w:eastAsia="Times New Roman" w:hAnsi="Arial" w:cs="Arial"/>
                                  <w:b/>
                                  <w:bCs/>
                                  <w:i/>
                                  <w:iCs/>
                                  <w:color w:val="202020"/>
                                  <w:sz w:val="14"/>
                                  <w:lang w:eastAsia="en-AU"/>
                                </w:rPr>
                                <w:t>Jubilee Park</w:t>
                              </w:r>
                            </w:p>
                            <w:p w:rsidR="008918C0" w:rsidRPr="008918C0" w:rsidRDefault="008918C0" w:rsidP="008918C0">
                              <w:pPr>
                                <w:spacing w:before="0" w:after="0" w:line="213" w:lineRule="atLeast"/>
                                <w:rPr>
                                  <w:rFonts w:ascii="Arial" w:eastAsia="Times New Roman" w:hAnsi="Arial" w:cs="Arial"/>
                                  <w:color w:val="202020"/>
                                  <w:sz w:val="14"/>
                                  <w:szCs w:val="14"/>
                                  <w:lang w:eastAsia="en-AU"/>
                                </w:rPr>
                              </w:pPr>
                              <w:r w:rsidRPr="008918C0">
                                <w:rPr>
                                  <w:rFonts w:ascii="Arial" w:eastAsia="Times New Roman" w:hAnsi="Arial" w:cs="Arial"/>
                                  <w:color w:val="202020"/>
                                  <w:sz w:val="14"/>
                                  <w:szCs w:val="14"/>
                                  <w:lang w:eastAsia="en-AU"/>
                                </w:rPr>
                                <w:t>People have been asking about the future of Jubilee Park…the future direction for this will be decided after the draft plan has been presented at the Local Rodney Board business meeting in November. No leases can be signed until then.</w:t>
                              </w:r>
                              <w:r w:rsidRPr="008918C0">
                                <w:rPr>
                                  <w:rFonts w:ascii="Arial" w:eastAsia="Times New Roman" w:hAnsi="Arial" w:cs="Arial"/>
                                  <w:color w:val="202020"/>
                                  <w:sz w:val="14"/>
                                  <w:szCs w:val="14"/>
                                  <w:lang w:eastAsia="en-AU"/>
                                </w:rPr>
                                <w:br/>
                                <w:t> </w:t>
                              </w:r>
                            </w:p>
                            <w:p w:rsidR="008918C0" w:rsidRPr="008918C0" w:rsidRDefault="008918C0" w:rsidP="008918C0">
                              <w:pPr>
                                <w:spacing w:before="0" w:after="0" w:line="213" w:lineRule="atLeast"/>
                                <w:rPr>
                                  <w:rFonts w:ascii="Arial" w:eastAsia="Times New Roman" w:hAnsi="Arial" w:cs="Arial"/>
                                  <w:color w:val="202020"/>
                                  <w:sz w:val="14"/>
                                  <w:szCs w:val="14"/>
                                  <w:lang w:eastAsia="en-AU"/>
                                </w:rPr>
                              </w:pPr>
                              <w:r w:rsidRPr="008918C0">
                                <w:rPr>
                                  <w:rFonts w:ascii="Arial" w:eastAsia="Times New Roman" w:hAnsi="Arial" w:cs="Arial"/>
                                  <w:b/>
                                  <w:bCs/>
                                  <w:i/>
                                  <w:iCs/>
                                  <w:color w:val="202020"/>
                                  <w:sz w:val="14"/>
                                  <w:lang w:eastAsia="en-AU"/>
                                </w:rPr>
                                <w:t>Montessori</w:t>
                              </w:r>
                              <w:r w:rsidRPr="008918C0">
                                <w:rPr>
                                  <w:rFonts w:ascii="Arial" w:eastAsia="Times New Roman" w:hAnsi="Arial" w:cs="Arial"/>
                                  <w:color w:val="202020"/>
                                  <w:sz w:val="14"/>
                                  <w:szCs w:val="14"/>
                                  <w:lang w:eastAsia="en-AU"/>
                                </w:rPr>
                                <w:br/>
                                <w:t>This topic was raised as an issue at the Vision Matakana event. There is a focussed group led by Dan Payne, and they will report back to the MCG re future plans after Xmas.</w:t>
                              </w:r>
                              <w:r w:rsidRPr="008918C0">
                                <w:rPr>
                                  <w:rFonts w:ascii="Arial" w:eastAsia="Times New Roman" w:hAnsi="Arial" w:cs="Arial"/>
                                  <w:color w:val="202020"/>
                                  <w:sz w:val="14"/>
                                  <w:szCs w:val="14"/>
                                  <w:lang w:eastAsia="en-AU"/>
                                </w:rPr>
                                <w:br/>
                                <w:t> </w:t>
                              </w:r>
                              <w:r w:rsidRPr="008918C0">
                                <w:rPr>
                                  <w:rFonts w:ascii="Arial" w:eastAsia="Times New Roman" w:hAnsi="Arial" w:cs="Arial"/>
                                  <w:color w:val="202020"/>
                                  <w:sz w:val="14"/>
                                  <w:szCs w:val="14"/>
                                  <w:lang w:eastAsia="en-AU"/>
                                </w:rPr>
                                <w:br/>
                              </w:r>
                              <w:proofErr w:type="spellStart"/>
                              <w:r w:rsidRPr="008918C0">
                                <w:rPr>
                                  <w:rFonts w:ascii="Arial" w:eastAsia="Times New Roman" w:hAnsi="Arial" w:cs="Arial"/>
                                  <w:b/>
                                  <w:bCs/>
                                  <w:i/>
                                  <w:iCs/>
                                  <w:color w:val="202020"/>
                                  <w:sz w:val="14"/>
                                  <w:lang w:eastAsia="en-AU"/>
                                </w:rPr>
                                <w:t>Portaloos</w:t>
                              </w:r>
                              <w:proofErr w:type="spellEnd"/>
                              <w:r w:rsidRPr="008918C0">
                                <w:rPr>
                                  <w:rFonts w:ascii="Arial" w:eastAsia="Times New Roman" w:hAnsi="Arial" w:cs="Arial"/>
                                  <w:b/>
                                  <w:bCs/>
                                  <w:i/>
                                  <w:iCs/>
                                  <w:color w:val="202020"/>
                                  <w:sz w:val="14"/>
                                  <w:lang w:eastAsia="en-AU"/>
                                </w:rPr>
                                <w:t xml:space="preserve"> for Labour week end</w:t>
                              </w:r>
                              <w:r w:rsidRPr="008918C0">
                                <w:rPr>
                                  <w:rFonts w:ascii="Arial" w:eastAsia="Times New Roman" w:hAnsi="Arial" w:cs="Arial"/>
                                  <w:color w:val="202020"/>
                                  <w:sz w:val="14"/>
                                  <w:szCs w:val="14"/>
                                  <w:lang w:eastAsia="en-AU"/>
                                </w:rPr>
                                <w:br/>
                                <w:t xml:space="preserve">To prevent the chaos we had over the last holiday weekend, we are going to take the initiative and order four </w:t>
                              </w:r>
                              <w:proofErr w:type="spellStart"/>
                              <w:r w:rsidRPr="008918C0">
                                <w:rPr>
                                  <w:rFonts w:ascii="Arial" w:eastAsia="Times New Roman" w:hAnsi="Arial" w:cs="Arial"/>
                                  <w:color w:val="202020"/>
                                  <w:sz w:val="14"/>
                                  <w:szCs w:val="14"/>
                                  <w:lang w:eastAsia="en-AU"/>
                                </w:rPr>
                                <w:t>portaloos</w:t>
                              </w:r>
                              <w:proofErr w:type="spellEnd"/>
                              <w:r w:rsidRPr="008918C0">
                                <w:rPr>
                                  <w:rFonts w:ascii="Arial" w:eastAsia="Times New Roman" w:hAnsi="Arial" w:cs="Arial"/>
                                  <w:color w:val="202020"/>
                                  <w:sz w:val="14"/>
                                  <w:szCs w:val="14"/>
                                  <w:lang w:eastAsia="en-AU"/>
                                </w:rPr>
                                <w:t xml:space="preserve"> for this long weekend and order extra cleaning/ maintenance for the toilets.</w:t>
                              </w:r>
                              <w:r w:rsidRPr="008918C0">
                                <w:rPr>
                                  <w:rFonts w:ascii="Arial" w:eastAsia="Times New Roman" w:hAnsi="Arial" w:cs="Arial"/>
                                  <w:color w:val="202020"/>
                                  <w:sz w:val="14"/>
                                  <w:szCs w:val="14"/>
                                  <w:lang w:eastAsia="en-AU"/>
                                </w:rPr>
                                <w:br/>
                              </w:r>
                              <w:r w:rsidRPr="008918C0">
                                <w:rPr>
                                  <w:rFonts w:ascii="Arial" w:eastAsia="Times New Roman" w:hAnsi="Arial" w:cs="Arial"/>
                                  <w:color w:val="202020"/>
                                  <w:sz w:val="14"/>
                                  <w:szCs w:val="14"/>
                                  <w:lang w:eastAsia="en-AU"/>
                                </w:rPr>
                                <w:br/>
                              </w:r>
                              <w:r w:rsidRPr="008918C0">
                                <w:rPr>
                                  <w:rFonts w:ascii="Arial" w:eastAsia="Times New Roman" w:hAnsi="Arial" w:cs="Arial"/>
                                  <w:b/>
                                  <w:bCs/>
                                  <w:i/>
                                  <w:iCs/>
                                  <w:color w:val="202020"/>
                                  <w:sz w:val="14"/>
                                  <w:lang w:eastAsia="en-AU"/>
                                </w:rPr>
                                <w:t>Car park maintenance</w:t>
                              </w:r>
                              <w:r w:rsidRPr="008918C0">
                                <w:rPr>
                                  <w:rFonts w:ascii="Arial" w:eastAsia="Times New Roman" w:hAnsi="Arial" w:cs="Arial"/>
                                  <w:color w:val="202020"/>
                                  <w:sz w:val="14"/>
                                  <w:szCs w:val="14"/>
                                  <w:lang w:eastAsia="en-AU"/>
                                </w:rPr>
                                <w:br/>
                                <w:t>There will need to be some immediate maintenance done and the plans for this are underway. We will need to make plans to help cover the ongoing expenses related to maintaining the car park in the future.</w:t>
                              </w: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tblPr>
                  <w:tblGrid>
                    <w:gridCol w:w="9026"/>
                  </w:tblGrid>
                  <w:tr w:rsidR="008918C0" w:rsidRPr="008918C0">
                    <w:tc>
                      <w:tcPr>
                        <w:tcW w:w="0" w:type="auto"/>
                        <w:hideMark/>
                      </w:tcPr>
                      <w:tbl>
                        <w:tblPr>
                          <w:tblpPr w:leftFromText="36" w:rightFromText="36" w:vertAnchor="text"/>
                          <w:tblW w:w="5000" w:type="pct"/>
                          <w:tblCellMar>
                            <w:left w:w="0" w:type="dxa"/>
                            <w:right w:w="0" w:type="dxa"/>
                          </w:tblCellMar>
                          <w:tblLook w:val="04A0"/>
                        </w:tblPr>
                        <w:tblGrid>
                          <w:gridCol w:w="9026"/>
                        </w:tblGrid>
                        <w:tr w:rsidR="008918C0" w:rsidRPr="008918C0">
                          <w:tc>
                            <w:tcPr>
                              <w:tcW w:w="0" w:type="auto"/>
                              <w:tcMar>
                                <w:top w:w="90" w:type="dxa"/>
                                <w:left w:w="180" w:type="dxa"/>
                                <w:bottom w:w="90" w:type="dxa"/>
                                <w:right w:w="180" w:type="dxa"/>
                              </w:tcMar>
                              <w:vAlign w:val="center"/>
                              <w:hideMark/>
                            </w:tcPr>
                            <w:tbl>
                              <w:tblPr>
                                <w:tblW w:w="5000" w:type="pct"/>
                                <w:tblCellMar>
                                  <w:top w:w="15" w:type="dxa"/>
                                  <w:left w:w="15" w:type="dxa"/>
                                  <w:bottom w:w="15" w:type="dxa"/>
                                  <w:right w:w="15" w:type="dxa"/>
                                </w:tblCellMar>
                                <w:tblLook w:val="04A0"/>
                              </w:tblPr>
                              <w:tblGrid>
                                <w:gridCol w:w="8666"/>
                              </w:tblGrid>
                              <w:tr w:rsidR="008918C0" w:rsidRPr="008918C0">
                                <w:tc>
                                  <w:tcPr>
                                    <w:tcW w:w="0" w:type="auto"/>
                                    <w:tcMar>
                                      <w:top w:w="180" w:type="dxa"/>
                                      <w:left w:w="180" w:type="dxa"/>
                                      <w:bottom w:w="180" w:type="dxa"/>
                                      <w:right w:w="180" w:type="dxa"/>
                                    </w:tcMar>
                                    <w:hideMark/>
                                  </w:tcPr>
                                  <w:p w:rsidR="008918C0" w:rsidRPr="008918C0" w:rsidRDefault="008918C0" w:rsidP="008918C0">
                                    <w:pPr>
                                      <w:spacing w:before="0" w:after="0" w:line="213" w:lineRule="atLeast"/>
                                      <w:jc w:val="center"/>
                                      <w:rPr>
                                        <w:rFonts w:ascii="Helvetica" w:eastAsia="Times New Roman" w:hAnsi="Helvetica" w:cs="Helvetica"/>
                                        <w:color w:val="090909"/>
                                        <w:sz w:val="14"/>
                                        <w:szCs w:val="14"/>
                                        <w:lang w:eastAsia="en-AU"/>
                                      </w:rPr>
                                    </w:pPr>
                                    <w:r w:rsidRPr="008918C0">
                                      <w:rPr>
                                        <w:rFonts w:ascii="Helvetica" w:eastAsia="Times New Roman" w:hAnsi="Helvetica" w:cs="Helvetica"/>
                                        <w:color w:val="090909"/>
                                        <w:sz w:val="14"/>
                                        <w:szCs w:val="14"/>
                                        <w:lang w:eastAsia="en-AU"/>
                                      </w:rPr>
                                      <w:t xml:space="preserve">  </w:t>
                                    </w:r>
                                  </w:p>
                                  <w:p w:rsidR="008918C0" w:rsidRPr="008918C0" w:rsidRDefault="008918C0" w:rsidP="008918C0">
                                    <w:pPr>
                                      <w:spacing w:before="0" w:after="0" w:line="213" w:lineRule="atLeast"/>
                                      <w:jc w:val="center"/>
                                      <w:rPr>
                                        <w:rFonts w:ascii="Helvetica" w:eastAsia="Times New Roman" w:hAnsi="Helvetica" w:cs="Helvetica"/>
                                        <w:color w:val="090909"/>
                                        <w:sz w:val="14"/>
                                        <w:szCs w:val="14"/>
                                        <w:lang w:eastAsia="en-AU"/>
                                      </w:rPr>
                                    </w:pPr>
                                    <w:r w:rsidRPr="008918C0">
                                      <w:rPr>
                                        <w:rFonts w:ascii="Helvetica" w:eastAsia="Times New Roman" w:hAnsi="Helvetica" w:cs="Helvetica"/>
                                        <w:b/>
                                        <w:bCs/>
                                        <w:color w:val="090909"/>
                                        <w:sz w:val="18"/>
                                        <w:lang w:eastAsia="en-AU"/>
                                      </w:rPr>
                                      <w:t>Possibilities for the Future</w:t>
                                    </w:r>
                                    <w:r w:rsidRPr="008918C0">
                                      <w:rPr>
                                        <w:rFonts w:ascii="Helvetica" w:eastAsia="Times New Roman" w:hAnsi="Helvetica" w:cs="Helvetica"/>
                                        <w:color w:val="090909"/>
                                        <w:sz w:val="14"/>
                                        <w:szCs w:val="14"/>
                                        <w:lang w:eastAsia="en-AU"/>
                                      </w:rPr>
                                      <w:br/>
                                      <w:t> </w:t>
                                    </w:r>
                                  </w:p>
                                  <w:p w:rsidR="008918C0" w:rsidRPr="008918C0" w:rsidRDefault="008918C0" w:rsidP="008918C0">
                                    <w:pPr>
                                      <w:spacing w:before="0" w:after="0" w:line="213" w:lineRule="atLeast"/>
                                      <w:rPr>
                                        <w:rFonts w:ascii="Helvetica" w:eastAsia="Times New Roman" w:hAnsi="Helvetica" w:cs="Helvetica"/>
                                        <w:color w:val="090909"/>
                                        <w:sz w:val="14"/>
                                        <w:szCs w:val="14"/>
                                        <w:lang w:eastAsia="en-AU"/>
                                      </w:rPr>
                                    </w:pPr>
                                    <w:r w:rsidRPr="008918C0">
                                      <w:rPr>
                                        <w:rFonts w:ascii="Helvetica" w:eastAsia="Times New Roman" w:hAnsi="Helvetica" w:cs="Helvetica"/>
                                        <w:b/>
                                        <w:bCs/>
                                        <w:i/>
                                        <w:iCs/>
                                        <w:color w:val="090909"/>
                                        <w:sz w:val="14"/>
                                        <w:lang w:eastAsia="en-AU"/>
                                      </w:rPr>
                                      <w:lastRenderedPageBreak/>
                                      <w:t>Matakana Coast Trail Trust</w:t>
                                    </w:r>
                                    <w:r w:rsidRPr="008918C0">
                                      <w:rPr>
                                        <w:rFonts w:ascii="Helvetica" w:eastAsia="Times New Roman" w:hAnsi="Helvetica" w:cs="Helvetica"/>
                                        <w:color w:val="090909"/>
                                        <w:sz w:val="14"/>
                                        <w:szCs w:val="14"/>
                                        <w:lang w:eastAsia="en-AU"/>
                                      </w:rPr>
                                      <w:br/>
                                      <w:t>A document is being prepared to be used as a support document for resource consent of future trails. It will include stories about people, land and strategies. The most advanced route is Snell’s Beach to Warkworth – they are just waiting for the acquisition of the last length of the trail.</w:t>
                                    </w:r>
                                    <w:r w:rsidRPr="008918C0">
                                      <w:rPr>
                                        <w:rFonts w:ascii="Helvetica" w:eastAsia="Times New Roman" w:hAnsi="Helvetica" w:cs="Helvetica"/>
                                        <w:color w:val="090909"/>
                                        <w:sz w:val="14"/>
                                        <w:szCs w:val="14"/>
                                        <w:lang w:eastAsia="en-AU"/>
                                      </w:rPr>
                                      <w:br/>
                                    </w:r>
                                    <w:r w:rsidRPr="008918C0">
                                      <w:rPr>
                                        <w:rFonts w:ascii="Helvetica" w:eastAsia="Times New Roman" w:hAnsi="Helvetica" w:cs="Helvetica"/>
                                        <w:color w:val="090909"/>
                                        <w:sz w:val="14"/>
                                        <w:szCs w:val="14"/>
                                        <w:lang w:eastAsia="en-AU"/>
                                      </w:rPr>
                                      <w:br/>
                                    </w:r>
                                    <w:r w:rsidRPr="008918C0">
                                      <w:rPr>
                                        <w:rFonts w:ascii="Helvetica" w:eastAsia="Times New Roman" w:hAnsi="Helvetica" w:cs="Helvetica"/>
                                        <w:b/>
                                        <w:bCs/>
                                        <w:i/>
                                        <w:iCs/>
                                        <w:color w:val="090909"/>
                                        <w:sz w:val="14"/>
                                        <w:lang w:eastAsia="en-AU"/>
                                      </w:rPr>
                                      <w:t>Riverside path from Market to King George</w:t>
                                    </w:r>
                                    <w:r w:rsidRPr="008918C0">
                                      <w:rPr>
                                        <w:rFonts w:ascii="Helvetica" w:eastAsia="Times New Roman" w:hAnsi="Helvetica" w:cs="Helvetica"/>
                                        <w:color w:val="090909"/>
                                        <w:sz w:val="14"/>
                                        <w:szCs w:val="14"/>
                                        <w:lang w:eastAsia="en-AU"/>
                                      </w:rPr>
                                      <w:br/>
                                      <w:t>There is considerable support for a riverside path from the market to the King George Memorial. In future this could also continue from the back of the village along to Matakana Green. There are keen community members working on this - watch this space!</w:t>
                                    </w: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rPr>
                      <w:rFonts w:ascii="Times New Roman" w:eastAsia="Times New Roman" w:hAnsi="Times New Roman" w:cs="Times New Roman"/>
                      <w:sz w:val="24"/>
                      <w:szCs w:val="24"/>
                      <w:lang w:eastAsia="en-AU"/>
                    </w:rPr>
                  </w:pPr>
                </w:p>
              </w:tc>
            </w:tr>
          </w:tbl>
          <w:p w:rsidR="008918C0" w:rsidRPr="008918C0" w:rsidRDefault="008918C0" w:rsidP="008918C0">
            <w:pPr>
              <w:spacing w:before="0" w:after="0"/>
              <w:jc w:val="center"/>
              <w:rPr>
                <w:rFonts w:ascii="Times New Roman" w:eastAsia="Times New Roman" w:hAnsi="Times New Roman" w:cs="Times New Roman"/>
                <w:color w:val="000000"/>
                <w:sz w:val="16"/>
                <w:szCs w:val="16"/>
                <w:lang w:eastAsia="en-AU"/>
              </w:rPr>
            </w:pPr>
          </w:p>
        </w:tc>
      </w:tr>
      <w:tr w:rsidR="008918C0" w:rsidRPr="008918C0" w:rsidTr="008918C0">
        <w:tc>
          <w:tcPr>
            <w:tcW w:w="0" w:type="auto"/>
            <w:shd w:val="clear" w:color="auto" w:fill="auto"/>
            <w:vAlign w:val="center"/>
            <w:hideMark/>
          </w:tcPr>
          <w:p w:rsidR="008918C0" w:rsidRPr="008918C0" w:rsidRDefault="008918C0" w:rsidP="008918C0">
            <w:pPr>
              <w:spacing w:before="0" w:after="0"/>
              <w:rPr>
                <w:rFonts w:ascii="Times New Roman" w:eastAsia="Times New Roman" w:hAnsi="Times New Roman" w:cs="Times New Roman"/>
                <w:color w:val="000000"/>
                <w:sz w:val="16"/>
                <w:szCs w:val="16"/>
                <w:lang w:eastAsia="en-AU"/>
              </w:rPr>
            </w:pPr>
          </w:p>
        </w:tc>
      </w:tr>
    </w:tbl>
    <w:p w:rsidR="005D3D46" w:rsidRDefault="005D3D46"/>
    <w:sectPr w:rsidR="005D3D46"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918C0"/>
    <w:rsid w:val="005D3D46"/>
    <w:rsid w:val="008918C0"/>
    <w:rsid w:val="00AB67A8"/>
    <w:rsid w:val="00D76E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18C0"/>
    <w:rPr>
      <w:b/>
      <w:bCs/>
    </w:rPr>
  </w:style>
  <w:style w:type="character" w:styleId="Emphasis">
    <w:name w:val="Emphasis"/>
    <w:basedOn w:val="DefaultParagraphFont"/>
    <w:uiPriority w:val="20"/>
    <w:qFormat/>
    <w:rsid w:val="008918C0"/>
    <w:rPr>
      <w:i/>
      <w:iCs/>
    </w:rPr>
  </w:style>
</w:styles>
</file>

<file path=word/webSettings.xml><?xml version="1.0" encoding="utf-8"?>
<w:webSettings xmlns:r="http://schemas.openxmlformats.org/officeDocument/2006/relationships" xmlns:w="http://schemas.openxmlformats.org/wordprocessingml/2006/main">
  <w:divs>
    <w:div w:id="14327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2018-11-20T21:35:00Z</dcterms:created>
  <dcterms:modified xsi:type="dcterms:W3CDTF">2018-11-20T21:37:00Z</dcterms:modified>
</cp:coreProperties>
</file>